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spacing w:line="560" w:lineRule="exact"/>
        <w:textAlignment w:val="auto"/>
        <w:rPr>
          <w:rFonts w:hint="default"/>
        </w:rPr>
      </w:pPr>
      <w:r>
        <w:t>许昌市自然资源和规划局</w:t>
      </w:r>
    </w:p>
    <w:p>
      <w:pPr>
        <w:pStyle w:val="20"/>
        <w:keepNext w:val="0"/>
        <w:keepLines w:val="0"/>
        <w:pageBreakBefore w:val="0"/>
        <w:widowControl w:val="0"/>
        <w:kinsoku/>
        <w:wordWrap/>
        <w:overflowPunct/>
        <w:topLinePunct w:val="0"/>
        <w:autoSpaceDE/>
        <w:autoSpaceDN/>
        <w:bidi w:val="0"/>
        <w:spacing w:line="560" w:lineRule="exact"/>
        <w:textAlignment w:val="auto"/>
      </w:pPr>
      <w:r>
        <w:t>关于支持“</w:t>
      </w:r>
      <w:r>
        <w:rPr>
          <w:rFonts w:hint="eastAsia"/>
          <w:lang w:eastAsia="zh-CN"/>
        </w:rPr>
        <w:t>一带一圈两谷</w:t>
      </w:r>
      <w:r>
        <w:t>”建设发展的</w:t>
      </w:r>
    </w:p>
    <w:p>
      <w:pPr>
        <w:pStyle w:val="20"/>
        <w:keepNext w:val="0"/>
        <w:keepLines w:val="0"/>
        <w:pageBreakBefore w:val="0"/>
        <w:widowControl w:val="0"/>
        <w:kinsoku/>
        <w:wordWrap/>
        <w:overflowPunct/>
        <w:topLinePunct w:val="0"/>
        <w:autoSpaceDE/>
        <w:autoSpaceDN/>
        <w:bidi w:val="0"/>
        <w:spacing w:line="560" w:lineRule="exact"/>
        <w:textAlignment w:val="auto"/>
        <w:rPr>
          <w:rFonts w:hint="default"/>
        </w:rPr>
      </w:pPr>
      <w:r>
        <w:t>实施意见</w:t>
      </w:r>
    </w:p>
    <w:p>
      <w:pPr>
        <w:pStyle w:val="4"/>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Calibri" w:hAnsi="Calibri" w:eastAsia="仿宋"/>
          <w:kern w:val="2"/>
          <w:szCs w:val="24"/>
        </w:rPr>
      </w:pPr>
      <w:r>
        <w:rPr>
          <w:rFonts w:ascii="Calibri" w:hAnsi="Calibri" w:eastAsia="仿宋"/>
          <w:kern w:val="2"/>
          <w:szCs w:val="24"/>
        </w:rPr>
        <w:t>（征求意见稿）</w:t>
      </w:r>
    </w:p>
    <w:p>
      <w:pPr>
        <w:pStyle w:val="20"/>
        <w:keepNext w:val="0"/>
        <w:keepLines w:val="0"/>
        <w:pageBreakBefore w:val="0"/>
        <w:widowControl w:val="0"/>
        <w:kinsoku/>
        <w:wordWrap/>
        <w:overflowPunct/>
        <w:topLinePunct w:val="0"/>
        <w:autoSpaceDE/>
        <w:autoSpaceDN/>
        <w:bidi w:val="0"/>
        <w:spacing w:line="560" w:lineRule="exact"/>
        <w:textAlignment w:val="auto"/>
        <w:rPr>
          <w:rFonts w:hint="default"/>
        </w:rPr>
      </w:pPr>
      <w:bookmarkStart w:id="0" w:name="_GoBack"/>
      <w:bookmarkEnd w:id="0"/>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ascii="Calibri" w:hAnsi="Calibri" w:eastAsia="仿宋"/>
          <w:kern w:val="2"/>
          <w:szCs w:val="24"/>
        </w:rPr>
      </w:pPr>
      <w:r>
        <w:rPr>
          <w:rFonts w:ascii="Calibri" w:hAnsi="Calibri" w:eastAsia="仿宋"/>
          <w:kern w:val="2"/>
          <w:szCs w:val="24"/>
        </w:rPr>
        <w:t>为深入贯彻落实市委、市政府关于加快建设以实体经济为支撑的现代化产业体系，牢固树立“工业兴市、制造业强市”理念，为全力推进</w:t>
      </w:r>
      <w:r>
        <w:rPr>
          <w:rFonts w:hint="eastAsia" w:ascii="Calibri" w:hAnsi="Calibri" w:eastAsia="仿宋"/>
          <w:kern w:val="2"/>
          <w:szCs w:val="24"/>
          <w:lang w:eastAsia="zh-CN"/>
        </w:rPr>
        <w:t>许港产业带</w:t>
      </w:r>
      <w:r>
        <w:rPr>
          <w:rFonts w:hint="eastAsia" w:ascii="Calibri" w:hAnsi="Calibri" w:eastAsia="仿宋"/>
          <w:kern w:val="2"/>
          <w:szCs w:val="24"/>
          <w:lang w:val="en-US" w:eastAsia="zh-CN"/>
        </w:rPr>
        <w:t>提质增效</w:t>
      </w:r>
      <w:r>
        <w:rPr>
          <w:rFonts w:hint="eastAsia" w:ascii="Calibri" w:hAnsi="Calibri" w:eastAsia="仿宋"/>
          <w:kern w:val="2"/>
          <w:szCs w:val="24"/>
          <w:lang w:eastAsia="zh-CN"/>
        </w:rPr>
        <w:t>、</w:t>
      </w:r>
      <w:r>
        <w:rPr>
          <w:rFonts w:ascii="Calibri" w:hAnsi="Calibri" w:eastAsia="仿宋"/>
          <w:kern w:val="2"/>
          <w:szCs w:val="24"/>
        </w:rPr>
        <w:t>芙蓉湖现代服务业创新圈能级跃升、中原电气谷产业生态重塑、中原生命健康谷创新突破（以下简称“</w:t>
      </w:r>
      <w:r>
        <w:rPr>
          <w:rFonts w:hint="eastAsia" w:ascii="Calibri" w:hAnsi="Calibri" w:eastAsia="仿宋"/>
          <w:kern w:val="2"/>
          <w:szCs w:val="24"/>
          <w:lang w:eastAsia="zh-CN"/>
        </w:rPr>
        <w:t>一带一圈两谷</w:t>
      </w:r>
      <w:r>
        <w:rPr>
          <w:rFonts w:ascii="Calibri" w:hAnsi="Calibri" w:eastAsia="仿宋"/>
          <w:kern w:val="2"/>
          <w:szCs w:val="24"/>
        </w:rPr>
        <w:t>”）提供高质量要素保障，深入落实“两融五城四跃升”总体战略部署，经局党组研究，现提出如下实施意见，请认真贯彻落实。</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rPr>
      </w:pPr>
      <w:r>
        <w:t>一、总体要求</w:t>
      </w:r>
    </w:p>
    <w:p>
      <w:pPr>
        <w:keepNext w:val="0"/>
        <w:keepLines w:val="0"/>
        <w:pageBreakBefore w:val="0"/>
        <w:widowControl w:val="0"/>
        <w:kinsoku/>
        <w:wordWrap/>
        <w:overflowPunct/>
        <w:topLinePunct w:val="0"/>
        <w:autoSpaceDE/>
        <w:autoSpaceDN/>
        <w:bidi w:val="0"/>
        <w:spacing w:line="560" w:lineRule="exact"/>
        <w:ind w:firstLine="640"/>
        <w:textAlignment w:val="auto"/>
      </w:pPr>
      <w:r>
        <w:rPr>
          <w:rFonts w:hint="eastAsia"/>
        </w:rPr>
        <w:t>以习近平新时代中国特色社会主义思想为指导，深入贯彻落实党的二十大和二十届三中全会精神，全面贯彻新发展理念，紧扣"四高四争先"战略导向，深度融入全市"三个坚定不移""五个方向""两个主战场"总体布局。坚持规划先行与要素保障双轮驱动，统筹推进城乡融合发展与产城协同发展，聚焦战略性新兴产业、重大基础设施和民生项目建设等重点领域，构建"规划引领-空间统筹-要素保障"三位一体的实施体系。为"</w:t>
      </w:r>
      <w:r>
        <w:rPr>
          <w:rFonts w:hint="eastAsia"/>
          <w:lang w:eastAsia="zh-CN"/>
        </w:rPr>
        <w:t>一带一圈两谷</w:t>
      </w:r>
      <w:r>
        <w:rPr>
          <w:rFonts w:hint="eastAsia"/>
        </w:rPr>
        <w:t>"建设提供坚实的空间支撑和资源保障，全力打造要素集聚能力强、产城融合度高、可持续发展后劲足的战略性新兴产业发展高地。</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rPr>
      </w:pPr>
      <w:r>
        <w:t>二、提升规划服务</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Style w:val="19"/>
          <w:rFonts w:ascii="仿宋" w:hAnsi="仿宋" w:eastAsia="仿宋"/>
          <w:b w:val="0"/>
        </w:rPr>
      </w:pPr>
      <w:r>
        <w:rPr>
          <w:rStyle w:val="19"/>
          <w:rFonts w:hint="eastAsia" w:ascii="仿宋" w:hAnsi="仿宋" w:eastAsia="仿宋"/>
          <w:b w:val="0"/>
        </w:rPr>
        <w:t>（一）积极推进开发区国土空间规划编制。落实市级国土空间总体规划关于底线管控、功能布局、空间结构等方面要求，守牢产业用地比例不低60%的底线，积极指导高新技术开发区</w:t>
      </w:r>
      <w:r>
        <w:rPr>
          <w:rStyle w:val="19"/>
          <w:rFonts w:hint="eastAsia" w:ascii="仿宋" w:hAnsi="仿宋" w:eastAsia="仿宋"/>
          <w:b w:val="0"/>
          <w:lang w:eastAsia="zh-CN"/>
        </w:rPr>
        <w:t>、经济技术开发区</w:t>
      </w:r>
      <w:r>
        <w:rPr>
          <w:rStyle w:val="19"/>
          <w:rFonts w:hint="eastAsia" w:ascii="仿宋" w:hAnsi="仿宋" w:eastAsia="仿宋"/>
          <w:b w:val="0"/>
        </w:rPr>
        <w:t>及现代服务业开发区国土空间规划编制，保障“</w:t>
      </w:r>
      <w:r>
        <w:rPr>
          <w:rStyle w:val="19"/>
          <w:rFonts w:hint="eastAsia" w:ascii="仿宋" w:hAnsi="仿宋" w:eastAsia="仿宋"/>
          <w:b w:val="0"/>
          <w:lang w:eastAsia="zh-CN"/>
        </w:rPr>
        <w:t>一带一圈两谷</w:t>
      </w:r>
      <w:r>
        <w:rPr>
          <w:rStyle w:val="19"/>
          <w:rFonts w:hint="eastAsia" w:ascii="仿宋" w:hAnsi="仿宋" w:eastAsia="仿宋"/>
          <w:b w:val="0"/>
        </w:rPr>
        <w:t>”产业发展空间。在其编制深度达到单元详细规划层级的基础上，指导其加强单元之间的系统协同，进一步优化用地布局，合理确定用地比例和开发强度，促进土地节约集约利用，切实提高《规划》前瞻性、指导性和实用性，为街坊详细规划编制奠定基础。</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rPr>
      </w:pPr>
      <w:r>
        <w:rPr>
          <w:rStyle w:val="19"/>
          <w:rFonts w:hint="eastAsia" w:ascii="仿宋" w:hAnsi="仿宋" w:eastAsia="仿宋"/>
          <w:b w:val="0"/>
        </w:rPr>
        <w:t>（二）科学编制控制性规划。</w:t>
      </w:r>
      <w:r>
        <w:rPr>
          <w:rFonts w:hint="eastAsia" w:ascii="仿宋" w:hAnsi="仿宋"/>
        </w:rPr>
        <w:t>以国土空间规划为依据，以完善城市功能、城市产业发展协调为宗旨，同时结合“</w:t>
      </w:r>
      <w:r>
        <w:rPr>
          <w:rFonts w:hint="eastAsia" w:ascii="仿宋" w:hAnsi="仿宋"/>
          <w:lang w:eastAsia="zh-CN"/>
        </w:rPr>
        <w:t>一带一圈两谷</w:t>
      </w:r>
      <w:r>
        <w:rPr>
          <w:rFonts w:hint="eastAsia" w:ascii="仿宋" w:hAnsi="仿宋"/>
        </w:rPr>
        <w:t>”区域产业人口特点，科学编制“单元控规”，合理设置指标体系，统筹考虑用地弹性控制和兼容性，发挥规划对资源高效配置的引导作用。</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rPr>
      </w:pPr>
      <w:r>
        <w:rPr>
          <w:rStyle w:val="19"/>
          <w:rFonts w:hint="eastAsia" w:ascii="仿宋" w:hAnsi="仿宋" w:eastAsia="仿宋"/>
          <w:b w:val="0"/>
        </w:rPr>
        <w:t>（三）优化规划审批事项。</w:t>
      </w:r>
      <w:r>
        <w:rPr>
          <w:rFonts w:hint="eastAsia" w:ascii="仿宋" w:hAnsi="仿宋"/>
        </w:rPr>
        <w:t>深化规划用地“多审合一、多证合一”改革，按照“能合不分、能并不串、能简不留、能短不长”的原则，合并办理选址意见书，同步办理建设用地批准书（用地批复），推行建设工程规划许可设计方案联合审查，简化申请材料,压缩审批时限。</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rPr>
      </w:pPr>
      <w:r>
        <w:rPr>
          <w:rStyle w:val="19"/>
          <w:rFonts w:hint="eastAsia" w:ascii="仿宋" w:hAnsi="仿宋" w:eastAsia="仿宋"/>
          <w:b w:val="0"/>
        </w:rPr>
        <w:t>（四）实施“分栋核实”。</w:t>
      </w:r>
      <w:r>
        <w:rPr>
          <w:rFonts w:hint="eastAsia" w:ascii="仿宋" w:hAnsi="仿宋"/>
        </w:rPr>
        <w:t>在规划土地核实阶段，对符合规划要求的建设项目，按楼栋实施“分栋核实”。</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rPr>
      </w:pPr>
      <w:r>
        <w:t>三、强化土地要素保障</w:t>
      </w:r>
    </w:p>
    <w:p>
      <w:pPr>
        <w:keepNext w:val="0"/>
        <w:keepLines w:val="0"/>
        <w:pageBreakBefore w:val="0"/>
        <w:widowControl w:val="0"/>
        <w:kinsoku/>
        <w:wordWrap/>
        <w:overflowPunct/>
        <w:topLinePunct w:val="0"/>
        <w:autoSpaceDE/>
        <w:autoSpaceDN/>
        <w:bidi w:val="0"/>
        <w:spacing w:line="560" w:lineRule="exact"/>
        <w:ind w:firstLine="640"/>
        <w:textAlignment w:val="auto"/>
      </w:pPr>
      <w:r>
        <w:rPr>
          <w:rFonts w:hint="eastAsia"/>
        </w:rPr>
        <w:t>（一）对列入稳经济集中攻坚范围的“</w:t>
      </w:r>
      <w:r>
        <w:rPr>
          <w:rFonts w:hint="eastAsia"/>
          <w:lang w:eastAsia="zh-CN"/>
        </w:rPr>
        <w:t>省市重点建设项目</w:t>
      </w:r>
      <w:r>
        <w:rPr>
          <w:rFonts w:hint="eastAsia"/>
        </w:rPr>
        <w:t>”、“两重”“两新”、“7+28+N”重点产业链、先进制造业、新质生产力、民生重点工程、能源等非单独选址项目，可全额预支省级基础计划，实行即报即配、应保尽保。</w:t>
      </w:r>
    </w:p>
    <w:p>
      <w:pPr>
        <w:keepNext w:val="0"/>
        <w:keepLines w:val="0"/>
        <w:pageBreakBefore w:val="0"/>
        <w:widowControl w:val="0"/>
        <w:kinsoku/>
        <w:wordWrap/>
        <w:overflowPunct/>
        <w:topLinePunct w:val="0"/>
        <w:autoSpaceDE/>
        <w:autoSpaceDN/>
        <w:bidi w:val="0"/>
        <w:spacing w:line="560" w:lineRule="exact"/>
        <w:ind w:firstLine="640"/>
        <w:textAlignment w:val="auto"/>
      </w:pPr>
      <w:r>
        <w:rPr>
          <w:rFonts w:hint="eastAsia"/>
        </w:rPr>
        <w:t>（二）结合属地管委会意愿，经市政府授权后，实施省级以上开发区建设用地直报审批“直通车”，压减用地审查层级，提高用地审批效率。</w:t>
      </w:r>
    </w:p>
    <w:p>
      <w:pPr>
        <w:keepNext w:val="0"/>
        <w:keepLines w:val="0"/>
        <w:pageBreakBefore w:val="0"/>
        <w:widowControl w:val="0"/>
        <w:kinsoku/>
        <w:wordWrap/>
        <w:overflowPunct/>
        <w:topLinePunct w:val="0"/>
        <w:autoSpaceDE/>
        <w:autoSpaceDN/>
        <w:bidi w:val="0"/>
        <w:spacing w:line="560" w:lineRule="exact"/>
        <w:ind w:firstLine="640"/>
        <w:textAlignment w:val="auto"/>
      </w:pPr>
      <w:r>
        <w:rPr>
          <w:rFonts w:hint="eastAsia"/>
        </w:rPr>
        <w:t>（三）用好技术手段。升级建设用地审查报批系统，变“先组卷后审查”为“边组卷边审查”，构建建设用地“录入即合格、生成即符合”的审查报批新模式，提升建设用地审查报批质效。</w:t>
      </w:r>
    </w:p>
    <w:p>
      <w:pPr>
        <w:keepNext w:val="0"/>
        <w:keepLines w:val="0"/>
        <w:pageBreakBefore w:val="0"/>
        <w:widowControl w:val="0"/>
        <w:kinsoku/>
        <w:wordWrap/>
        <w:overflowPunct/>
        <w:topLinePunct w:val="0"/>
        <w:autoSpaceDE/>
        <w:autoSpaceDN/>
        <w:bidi w:val="0"/>
        <w:spacing w:line="560" w:lineRule="exact"/>
        <w:ind w:firstLine="640"/>
        <w:textAlignment w:val="auto"/>
      </w:pPr>
      <w:r>
        <w:rPr>
          <w:rFonts w:hint="eastAsia"/>
        </w:rPr>
        <w:t>（四）调整新增建设用地土地有偿使用费缴纳节点，将省政府批准用地的新增建设用地土地有偿使用费缴纳凭证，由省级用地审查要件调整为印发省政府批准文件的前置要件。</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rPr>
      </w:pPr>
      <w:r>
        <w:t>四、加强土地收购储备</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bCs/>
          <w:iCs/>
          <w:szCs w:val="32"/>
        </w:rPr>
      </w:pPr>
      <w:r>
        <w:rPr>
          <w:rStyle w:val="19"/>
          <w:rFonts w:hint="eastAsia" w:ascii="仿宋" w:hAnsi="仿宋" w:eastAsia="仿宋"/>
          <w:b w:val="0"/>
        </w:rPr>
        <w:t>（一）依法规范收回土地。</w:t>
      </w:r>
      <w:r>
        <w:rPr>
          <w:rFonts w:hint="eastAsia" w:ascii="仿宋" w:hAnsi="仿宋" w:cs="仿宋_GB2312"/>
          <w:iCs/>
          <w:szCs w:val="32"/>
        </w:rPr>
        <w:t>依据法律法规规定的情形收回土地，</w:t>
      </w:r>
      <w:r>
        <w:rPr>
          <w:rFonts w:hint="eastAsia" w:ascii="仿宋" w:hAnsi="仿宋" w:cs="仿宋_GB2312"/>
          <w:bCs/>
          <w:iCs/>
          <w:szCs w:val="32"/>
        </w:rPr>
        <w:t>充分保障企业的合法权益。需要协商收回土地的，允许地方政府与企业充分协商，给予合理补偿，补偿标准和方式无法达成一致的，依合同约定申请仲裁或提起诉讼，根据裁决和判决确定补偿方式并及时收回。允许通过非货币补偿方式协商收回土地。</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iCs/>
          <w:szCs w:val="32"/>
        </w:rPr>
      </w:pPr>
      <w:r>
        <w:rPr>
          <w:rStyle w:val="19"/>
          <w:rFonts w:hint="eastAsia" w:ascii="仿宋" w:hAnsi="仿宋" w:eastAsia="仿宋"/>
          <w:b w:val="0"/>
        </w:rPr>
        <w:t>（二）妥善</w:t>
      </w:r>
      <w:r>
        <w:rPr>
          <w:rStyle w:val="19"/>
          <w:rFonts w:ascii="仿宋" w:hAnsi="仿宋" w:eastAsia="仿宋"/>
          <w:b w:val="0"/>
        </w:rPr>
        <w:t>收回收购</w:t>
      </w:r>
      <w:r>
        <w:rPr>
          <w:rStyle w:val="19"/>
          <w:rFonts w:hint="eastAsia" w:ascii="仿宋" w:hAnsi="仿宋" w:eastAsia="仿宋"/>
          <w:b w:val="0"/>
        </w:rPr>
        <w:t>存量闲置土地。</w:t>
      </w:r>
      <w:r>
        <w:rPr>
          <w:rFonts w:hint="eastAsia" w:ascii="仿宋" w:hAnsi="仿宋" w:cs="仿宋_GB2312"/>
          <w:iCs/>
          <w:szCs w:val="32"/>
        </w:rPr>
        <w:t>优先收回收购企业无力或无意愿继续开发、已供应未动工的住宅用地和商服用地。其他用途的土地，进入司法或破产拍卖、变卖程序的土地，因低效用地再开发或基础设施建设等需要收回的土地，以及列入闲置用地清单已动工地块中规划可分割暂未建设的部分，也可以纳入收回收购范围。</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rPr>
      </w:pPr>
      <w:r>
        <w:t>五、优化土地供应</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szCs w:val="32"/>
        </w:rPr>
      </w:pPr>
      <w:r>
        <w:rPr>
          <w:rStyle w:val="19"/>
          <w:rFonts w:hint="eastAsia" w:ascii="仿宋" w:hAnsi="仿宋" w:eastAsia="仿宋"/>
          <w:b w:val="0"/>
        </w:rPr>
        <w:t>（一）坚持市场化配置</w:t>
      </w:r>
      <w:r>
        <w:rPr>
          <w:rFonts w:hint="eastAsia"/>
          <w:szCs w:val="32"/>
        </w:rPr>
        <w:t>。强化土地一二级市场联动，做好土地投放总量、结构、时序等方面的衔接，加强对土地市场的整体调控。进一步扩大国有建设用地使用权网上交易范</w:t>
      </w:r>
      <w:r>
        <w:rPr>
          <w:rFonts w:hint="eastAsia" w:ascii="仿宋" w:hAnsi="仿宋"/>
          <w:szCs w:val="32"/>
        </w:rPr>
        <w:t>围，以拍卖、挂牌方式出让国有建设用地使用权的，应通过网上交易系统组织实施，禁止对竞买人设置排他性条件;鼓励和引导市场主体通过土地二级市场线上交易，打造“统一开放、公平竞争、协调发展”的现代土地市场体系。</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bCs/>
          <w:iCs/>
          <w:szCs w:val="32"/>
        </w:rPr>
      </w:pPr>
      <w:r>
        <w:rPr>
          <w:rStyle w:val="19"/>
          <w:rFonts w:hint="eastAsia" w:ascii="仿宋" w:hAnsi="仿宋" w:eastAsia="仿宋"/>
          <w:b w:val="0"/>
        </w:rPr>
        <w:t>（二）严格实行“净地”供应。</w:t>
      </w:r>
      <w:r>
        <w:rPr>
          <w:rFonts w:hint="eastAsia" w:ascii="仿宋" w:hAnsi="仿宋" w:cs="仿宋_GB2312"/>
          <w:bCs/>
          <w:iCs/>
          <w:szCs w:val="32"/>
        </w:rPr>
        <w:t>拟出让宗地必须是征收(拆迁)安置补偿落实到位、没有法律经济纠纷、土地权属清晰并已注销原不动产权利证书、规划条件明确、具备动工开发基本条件的“净地”。对于经行政处罚没收或依法收购、收回的地上建筑物，已建成的需符合消防、安全等要求，经评估后确定地上建筑物资产价值，可以与土地一并出让。除单独选址项目外，拟供土地必须纳入土地储备库，录入全民所有土地资产管理信息系统，严格落实“凡供必储”要求。</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bCs/>
          <w:iCs/>
          <w:szCs w:val="32"/>
        </w:rPr>
      </w:pPr>
      <w:r>
        <w:rPr>
          <w:rStyle w:val="19"/>
          <w:rFonts w:hint="eastAsia" w:ascii="仿宋" w:hAnsi="仿宋" w:eastAsia="仿宋"/>
          <w:b w:val="0"/>
        </w:rPr>
        <w:t>（三）灵活选择供应方式。</w:t>
      </w:r>
      <w:r>
        <w:rPr>
          <w:rFonts w:hint="eastAsia" w:ascii="仿宋" w:hAnsi="仿宋" w:cs="仿宋_GB2312"/>
          <w:bCs/>
          <w:iCs/>
          <w:szCs w:val="32"/>
        </w:rPr>
        <w:t>对经营性用地以及同一宗地有两个以上意向用地者的，灵活选择拍卖、挂牌等方式组织供应，切实提高供应效率。持续推行工业用地“标准地+承诺制”出让工作，鼓励新增工业用地全部以“标准地”供应。鼓励各地采用长期租赁、弹性年期出让等方式供应产业项目用地，满足多元化土地需求。</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bCs/>
          <w:iCs/>
          <w:szCs w:val="32"/>
        </w:rPr>
      </w:pPr>
      <w:r>
        <w:rPr>
          <w:rStyle w:val="19"/>
          <w:rFonts w:hint="eastAsia" w:ascii="仿宋" w:hAnsi="仿宋" w:eastAsia="仿宋"/>
          <w:b w:val="0"/>
        </w:rPr>
        <w:t>（四）实施宗地组合供应。</w:t>
      </w:r>
      <w:r>
        <w:rPr>
          <w:rFonts w:hint="eastAsia" w:ascii="仿宋" w:hAnsi="仿宋" w:cs="仿宋_GB2312"/>
          <w:bCs/>
          <w:iCs/>
          <w:szCs w:val="32"/>
        </w:rPr>
        <w:t>在城镇开发边界范围内，可按照“面积适中、功能融合”原则，将包括产业、住宅、商业等多个不同用途、面积和位置邻近的地块组合打包为一个项目，在符合详细规划的基础上，分别出具规划条件，实施宗地组合供应。</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bCs/>
          <w:iCs/>
          <w:szCs w:val="32"/>
        </w:rPr>
      </w:pPr>
      <w:r>
        <w:rPr>
          <w:rStyle w:val="19"/>
          <w:rFonts w:hint="eastAsia" w:ascii="仿宋" w:hAnsi="仿宋" w:eastAsia="仿宋"/>
          <w:b w:val="0"/>
        </w:rPr>
        <w:t>（五）鼓励开展产业链供地。</w:t>
      </w:r>
      <w:r>
        <w:rPr>
          <w:rFonts w:hint="eastAsia" w:ascii="仿宋" w:hAnsi="仿宋" w:cs="仿宋_GB2312"/>
          <w:bCs/>
          <w:iCs/>
          <w:szCs w:val="32"/>
        </w:rPr>
        <w:t>对产业链关键环节、核心项目涉及多宗土地的，在分宗出具规划条件、限制为同一竞得人、分宗签订《国有建设用地使用权出让合同》(以下简称“《出让合同》”)的前提下，可以在同一公告中发布土地出让信息，实行整体出让。支持开发区、工业园区规划建设可租可售的高标准厂房，头部、龙头、链主企业及其关联的上下游产业链项目主体可选择适宜方式拿地，促进产业布局从分散向集群转变。</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bCs/>
          <w:iCs/>
          <w:szCs w:val="32"/>
        </w:rPr>
      </w:pPr>
      <w:r>
        <w:rPr>
          <w:rStyle w:val="19"/>
          <w:rFonts w:hint="eastAsia" w:ascii="仿宋" w:hAnsi="仿宋" w:eastAsia="仿宋"/>
          <w:b w:val="0"/>
        </w:rPr>
        <w:t>（六）推行带“方案”出让。</w:t>
      </w:r>
      <w:r>
        <w:rPr>
          <w:rFonts w:hint="eastAsia" w:ascii="仿宋" w:hAnsi="仿宋" w:cs="仿宋_GB2312"/>
          <w:bCs/>
          <w:iCs/>
          <w:szCs w:val="32"/>
        </w:rPr>
        <w:t>具备带“方案”出让条件的地块，土地出让前，由市、县人民政府将城市设计、建设工程设计方案等相关条件予以明确，作为土地出让的前提条件，纳入供地方案。土地出让公告阶段，同步进行建设工程设计方案批前网上公示、现场公示和地籍调查。签订《出让合同》后，可凭项目批准、核准、备案手续，核发建设用地规划许可证。对已缴清土地出让金和相关税费的，可一并颁发不动产权证书和建设工程规划许可证。</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cs="仿宋_GB2312"/>
          <w:bCs/>
          <w:iCs/>
          <w:szCs w:val="32"/>
        </w:rPr>
      </w:pPr>
      <w:r>
        <w:rPr>
          <w:rStyle w:val="19"/>
          <w:rFonts w:hint="eastAsia" w:ascii="仿宋" w:hAnsi="仿宋" w:eastAsia="仿宋"/>
          <w:b w:val="0"/>
        </w:rPr>
        <w:t>（七）鼓励工业、仓储、科研等功能互利的用地混合布局、融合发展。</w:t>
      </w:r>
      <w:r>
        <w:rPr>
          <w:rFonts w:hint="eastAsia" w:ascii="仿宋" w:hAnsi="仿宋" w:cs="仿宋_GB2312"/>
          <w:bCs/>
          <w:iCs/>
          <w:szCs w:val="32"/>
        </w:rPr>
        <w:t>探索制定混合土地用途设定规则，制订主辅用途“准入组合+负面清单”，明确两种或两种以上用途混合的类型和比例等内容，引导工业、仓储、研发、办公、商业等功能在同一地块或建筑内混合。涉及公共安全、公共利益、环境保护及特殊功能需求的用地不得进行多用途混合利用。</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 w:hAnsi="仿宋"/>
          <w:szCs w:val="32"/>
        </w:rPr>
      </w:pPr>
      <w:r>
        <w:rPr>
          <w:rStyle w:val="19"/>
          <w:rFonts w:hint="eastAsia" w:ascii="仿宋" w:hAnsi="仿宋" w:eastAsia="仿宋"/>
          <w:b w:val="0"/>
        </w:rPr>
        <w:t>（八）提高出让后手续办理效率。</w:t>
      </w:r>
      <w:r>
        <w:rPr>
          <w:rFonts w:hint="eastAsia" w:ascii="仿宋" w:hAnsi="仿宋"/>
          <w:szCs w:val="32"/>
        </w:rPr>
        <w:t>根据公共资源交易平台公布的竞得结果，自然资源主管部门在1个工作日内完成竞得入选人资格审查并签订《成交确认书》。签订《成交确认书》后 1个工作日内发布出让结果公告。出让结果公告到期后无异议的1个工作日内通知竞得人按《成交确认书》约定时间签订《出让合同》。支持分期缴纳土地出让价款，允许企业灵活选择国有建设用地使用权出让价款缴纳方式，采取分期缴纳的，分期缴纳期限原则上不超过1年。允许合理调整开竣工日期，对于超期一年以内的未开发土地，企业承诺在一定期限内动工的，可经市、县人民政府批准，签订补充协议，根据项目合理开发周期重新约定开竣工日期和违约金缴纳条款。</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rPr>
      </w:pPr>
      <w:r>
        <w:t>六、创新不动产登记服务</w:t>
      </w:r>
    </w:p>
    <w:p>
      <w:pPr>
        <w:pStyle w:val="2"/>
        <w:keepNext w:val="0"/>
        <w:keepLines w:val="0"/>
        <w:pageBreakBefore w:val="0"/>
        <w:widowControl w:val="0"/>
        <w:kinsoku/>
        <w:wordWrap/>
        <w:overflowPunct/>
        <w:topLinePunct w:val="0"/>
        <w:autoSpaceDE/>
        <w:autoSpaceDN/>
        <w:bidi w:val="0"/>
        <w:spacing w:line="560" w:lineRule="exact"/>
        <w:ind w:firstLine="640"/>
        <w:textAlignment w:val="auto"/>
      </w:pPr>
      <w:r>
        <w:rPr>
          <w:rFonts w:hint="eastAsia"/>
        </w:rPr>
        <w:t>（一）对已办理不动产首次登记且修建性详细规划已批准的宗地或已按规划要求建设完毕的项目，允许申请不动产分割抵押登记或分割转移登记。</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Style w:val="18"/>
        </w:rPr>
      </w:pPr>
      <w:r>
        <w:rPr>
          <w:rFonts w:hint="eastAsia"/>
        </w:rPr>
        <w:t>（二）对房地产开发项目，在竣工验收备案阶段提前开展不动产测绘及权属调查，实施新建商品房“交房即交证”。对“招拍挂”土地，实施“交地即交证”，允许用地单位取得“交地确认书”时同步开展不动产登记。</w:t>
      </w:r>
    </w:p>
    <w:p>
      <w:pPr>
        <w:pStyle w:val="2"/>
        <w:keepNext w:val="0"/>
        <w:keepLines w:val="0"/>
        <w:pageBreakBefore w:val="0"/>
        <w:widowControl w:val="0"/>
        <w:kinsoku/>
        <w:wordWrap/>
        <w:overflowPunct/>
        <w:topLinePunct w:val="0"/>
        <w:autoSpaceDE/>
        <w:autoSpaceDN/>
        <w:bidi w:val="0"/>
        <w:spacing w:line="560" w:lineRule="exact"/>
        <w:ind w:firstLine="640"/>
        <w:textAlignment w:val="auto"/>
      </w:pPr>
      <w:r>
        <w:rPr>
          <w:rFonts w:hint="eastAsia"/>
        </w:rPr>
        <w:t>（三）对土地抵押到期仍有抵押融资需求的企业，将不动产抵押权注销登记与抵押权设立登记合并办理，实施“无还本续贷+抵押权注销”一站式办理。</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rPr>
      </w:pPr>
      <w:r>
        <w:t>七、保障措施</w:t>
      </w:r>
    </w:p>
    <w:p>
      <w:pPr>
        <w:keepNext w:val="0"/>
        <w:keepLines w:val="0"/>
        <w:pageBreakBefore w:val="0"/>
        <w:widowControl w:val="0"/>
        <w:kinsoku/>
        <w:wordWrap/>
        <w:overflowPunct/>
        <w:topLinePunct w:val="0"/>
        <w:autoSpaceDE/>
        <w:autoSpaceDN/>
        <w:bidi w:val="0"/>
        <w:spacing w:line="560" w:lineRule="exact"/>
        <w:ind w:firstLine="643"/>
        <w:textAlignment w:val="auto"/>
      </w:pPr>
      <w:r>
        <w:rPr>
          <w:rStyle w:val="19"/>
          <w:rFonts w:hint="eastAsia"/>
        </w:rPr>
        <w:t>（一）提高政治站位。</w:t>
      </w:r>
      <w:r>
        <w:t>各</w:t>
      </w:r>
      <w:r>
        <w:rPr>
          <w:rFonts w:hint="eastAsia"/>
        </w:rPr>
        <w:t>科室、单位</w:t>
      </w:r>
      <w:r>
        <w:t>要深刻认识</w:t>
      </w:r>
      <w:r>
        <w:rPr>
          <w:rFonts w:hint="eastAsia"/>
        </w:rPr>
        <w:t>建设</w:t>
      </w:r>
      <w:r>
        <w:t>“</w:t>
      </w:r>
      <w:r>
        <w:rPr>
          <w:rFonts w:hint="eastAsia"/>
          <w:lang w:eastAsia="zh-CN"/>
        </w:rPr>
        <w:t>一带一圈两谷</w:t>
      </w:r>
      <w:r>
        <w:t>”</w:t>
      </w:r>
      <w:r>
        <w:rPr>
          <w:rFonts w:hint="eastAsia"/>
        </w:rPr>
        <w:t>战略高地的重大意义，</w:t>
      </w:r>
      <w:r>
        <w:t>将“</w:t>
      </w:r>
      <w:r>
        <w:rPr>
          <w:rFonts w:hint="eastAsia"/>
          <w:lang w:eastAsia="zh-CN"/>
        </w:rPr>
        <w:t>一带一圈两谷</w:t>
      </w:r>
      <w:r>
        <w:t>”</w:t>
      </w:r>
      <w:r>
        <w:rPr>
          <w:rFonts w:hint="eastAsia"/>
        </w:rPr>
        <w:t>产业高地</w:t>
      </w:r>
      <w:r>
        <w:t>建设发展作为当前和今后一个时期的重要工作任务，切实增强责任感和使命感</w:t>
      </w:r>
      <w:r>
        <w:rPr>
          <w:rFonts w:hint="eastAsia"/>
        </w:rPr>
        <w:t>，</w:t>
      </w:r>
      <w:r>
        <w:t>强化大局意识，</w:t>
      </w:r>
      <w:r>
        <w:rPr>
          <w:rFonts w:hint="eastAsia"/>
        </w:rPr>
        <w:t>全面</w:t>
      </w:r>
      <w:r>
        <w:t>树立“一盘棋”思想，主动担当作为，形成上下联动、左右协同、齐抓共管的工作格局，以高度的政治自觉和行动自觉，为</w:t>
      </w:r>
      <w:r>
        <w:rPr>
          <w:rFonts w:hint="eastAsia"/>
        </w:rPr>
        <w:t>支持</w:t>
      </w:r>
      <w:r>
        <w:t>“</w:t>
      </w:r>
      <w:r>
        <w:rPr>
          <w:rFonts w:hint="eastAsia"/>
          <w:lang w:eastAsia="zh-CN"/>
        </w:rPr>
        <w:t>一带一圈两谷</w:t>
      </w:r>
      <w:r>
        <w:t>”建设发展提供坚实保障。</w:t>
      </w:r>
    </w:p>
    <w:p>
      <w:pPr>
        <w:keepNext w:val="0"/>
        <w:keepLines w:val="0"/>
        <w:pageBreakBefore w:val="0"/>
        <w:widowControl w:val="0"/>
        <w:kinsoku/>
        <w:wordWrap/>
        <w:overflowPunct/>
        <w:topLinePunct w:val="0"/>
        <w:autoSpaceDE/>
        <w:autoSpaceDN/>
        <w:bidi w:val="0"/>
        <w:spacing w:line="560" w:lineRule="exact"/>
        <w:ind w:firstLine="643"/>
        <w:textAlignment w:val="auto"/>
      </w:pPr>
      <w:r>
        <w:rPr>
          <w:rStyle w:val="19"/>
          <w:rFonts w:hint="eastAsia"/>
        </w:rPr>
        <w:t>（二）加强组织领导。</w:t>
      </w:r>
      <w:r>
        <w:t>各</w:t>
      </w:r>
      <w:r>
        <w:rPr>
          <w:rFonts w:hint="eastAsia"/>
        </w:rPr>
        <w:t>科室、单位</w:t>
      </w:r>
      <w:r>
        <w:t>要</w:t>
      </w:r>
      <w:r>
        <w:rPr>
          <w:rFonts w:hint="eastAsia"/>
        </w:rPr>
        <w:t>高度重视</w:t>
      </w:r>
      <w:r>
        <w:t>“</w:t>
      </w:r>
      <w:r>
        <w:rPr>
          <w:rFonts w:hint="eastAsia"/>
          <w:lang w:eastAsia="zh-CN"/>
        </w:rPr>
        <w:t>一带一圈两谷</w:t>
      </w:r>
      <w:r>
        <w:t>”建设发展</w:t>
      </w:r>
      <w:r>
        <w:rPr>
          <w:rFonts w:hint="eastAsia"/>
        </w:rPr>
        <w:t>要素保障工作</w:t>
      </w:r>
      <w:r>
        <w:t>，</w:t>
      </w:r>
      <w:r>
        <w:rPr>
          <w:rFonts w:hint="eastAsia"/>
        </w:rPr>
        <w:t>坚持目标导向，</w:t>
      </w:r>
      <w:r>
        <w:t>主要领导</w:t>
      </w:r>
      <w:r>
        <w:rPr>
          <w:rFonts w:hint="eastAsia"/>
        </w:rPr>
        <w:t>全面负责</w:t>
      </w:r>
      <w:r>
        <w:t>，</w:t>
      </w:r>
      <w:r>
        <w:rPr>
          <w:rFonts w:hint="eastAsia"/>
        </w:rPr>
        <w:t>分管领导抓好落实</w:t>
      </w:r>
      <w:r>
        <w:t>，</w:t>
      </w:r>
      <w:r>
        <w:rPr>
          <w:rFonts w:hint="eastAsia"/>
        </w:rPr>
        <w:t>建立</w:t>
      </w:r>
      <w:r>
        <w:t>统筹协调、</w:t>
      </w:r>
      <w:r>
        <w:rPr>
          <w:rFonts w:hint="eastAsia"/>
        </w:rPr>
        <w:t>科学调度的工作机制，着力</w:t>
      </w:r>
      <w:r>
        <w:t>推进“</w:t>
      </w:r>
      <w:r>
        <w:rPr>
          <w:rFonts w:hint="eastAsia"/>
          <w:lang w:eastAsia="zh-CN"/>
        </w:rPr>
        <w:t>一带一圈两谷</w:t>
      </w:r>
      <w:r>
        <w:t>”建设发展</w:t>
      </w:r>
      <w:r>
        <w:rPr>
          <w:rFonts w:hint="eastAsia"/>
        </w:rPr>
        <w:t>相关</w:t>
      </w:r>
      <w:r>
        <w:t>工作。</w:t>
      </w:r>
    </w:p>
    <w:p>
      <w:pPr>
        <w:keepNext w:val="0"/>
        <w:keepLines w:val="0"/>
        <w:pageBreakBefore w:val="0"/>
        <w:widowControl w:val="0"/>
        <w:kinsoku/>
        <w:wordWrap/>
        <w:overflowPunct/>
        <w:topLinePunct w:val="0"/>
        <w:autoSpaceDE/>
        <w:autoSpaceDN/>
        <w:bidi w:val="0"/>
        <w:spacing w:line="560" w:lineRule="exact"/>
        <w:ind w:firstLine="643"/>
        <w:textAlignment w:val="auto"/>
      </w:pPr>
      <w:r>
        <w:rPr>
          <w:rStyle w:val="19"/>
          <w:rFonts w:hint="eastAsia"/>
        </w:rPr>
        <w:t>（三）</w:t>
      </w:r>
      <w:r>
        <w:rPr>
          <w:rStyle w:val="19"/>
        </w:rPr>
        <w:t>强化沟通</w:t>
      </w:r>
      <w:r>
        <w:rPr>
          <w:rStyle w:val="19"/>
          <w:rFonts w:hint="eastAsia"/>
        </w:rPr>
        <w:t>协调</w:t>
      </w:r>
      <w:r>
        <w:rPr>
          <w:rStyle w:val="19"/>
        </w:rPr>
        <w:t>。</w:t>
      </w:r>
      <w:r>
        <w:t>建立健全沟通协调机制，加强</w:t>
      </w:r>
      <w:r>
        <w:rPr>
          <w:rFonts w:hint="eastAsia"/>
        </w:rPr>
        <w:t>与市</w:t>
      </w:r>
      <w:r>
        <w:t>“</w:t>
      </w:r>
      <w:r>
        <w:rPr>
          <w:rFonts w:hint="eastAsia"/>
          <w:lang w:eastAsia="zh-CN"/>
        </w:rPr>
        <w:t>一带一圈两谷</w:t>
      </w:r>
      <w:r>
        <w:t>”</w:t>
      </w:r>
      <w:r>
        <w:rPr>
          <w:rFonts w:hint="eastAsia"/>
        </w:rPr>
        <w:t>发展</w:t>
      </w:r>
      <w:r>
        <w:t>工作专班</w:t>
      </w:r>
      <w:r>
        <w:rPr>
          <w:rFonts w:hint="eastAsia"/>
        </w:rPr>
        <w:t>和发改、工信、科技等部门及示范区管委会、开发区管委会信息共享和工作协同，</w:t>
      </w:r>
      <w:r>
        <w:t>共同研究解决“</w:t>
      </w:r>
      <w:r>
        <w:rPr>
          <w:rFonts w:hint="eastAsia"/>
          <w:lang w:eastAsia="zh-CN"/>
        </w:rPr>
        <w:t>一带一圈两谷</w:t>
      </w:r>
      <w:r>
        <w:t>”建设发展中的重大问题。加强与上级部门的沟通对接，及时了解政策动态和工作要求，积极争取上级在项目、资金、政策等方面的支持。同时，广泛听取社会各界的意见和建议，充分调动企业、社会组织和广大群众参与“</w:t>
      </w:r>
      <w:r>
        <w:rPr>
          <w:rFonts w:hint="eastAsia"/>
          <w:lang w:eastAsia="zh-CN"/>
        </w:rPr>
        <w:t>一带一圈两谷</w:t>
      </w:r>
      <w:r>
        <w:t>”建设发展的积极性和主动性，营造良好的社会氛围。</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3"/>
      <w:lvlText w:val="第%1章　"/>
      <w:lvlJc w:val="left"/>
      <w:pPr>
        <w:tabs>
          <w:tab w:val="left" w:pos="1440"/>
        </w:tabs>
        <w:ind w:left="198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366841"/>
    <w:rsid w:val="00012CA5"/>
    <w:rsid w:val="000229D1"/>
    <w:rsid w:val="0017791D"/>
    <w:rsid w:val="001806AD"/>
    <w:rsid w:val="001B3B0F"/>
    <w:rsid w:val="001D3F47"/>
    <w:rsid w:val="00540845"/>
    <w:rsid w:val="00572BC7"/>
    <w:rsid w:val="00595676"/>
    <w:rsid w:val="005B2A80"/>
    <w:rsid w:val="00670EB7"/>
    <w:rsid w:val="006B74A0"/>
    <w:rsid w:val="006C73EF"/>
    <w:rsid w:val="00701D91"/>
    <w:rsid w:val="0083062B"/>
    <w:rsid w:val="00847B6B"/>
    <w:rsid w:val="00857671"/>
    <w:rsid w:val="00863F6C"/>
    <w:rsid w:val="008B0C66"/>
    <w:rsid w:val="008B6436"/>
    <w:rsid w:val="00987170"/>
    <w:rsid w:val="009F4B50"/>
    <w:rsid w:val="00AC7993"/>
    <w:rsid w:val="00CB333F"/>
    <w:rsid w:val="00CC12F2"/>
    <w:rsid w:val="00CF37B0"/>
    <w:rsid w:val="00D528A9"/>
    <w:rsid w:val="00DA24DE"/>
    <w:rsid w:val="00E56AAA"/>
    <w:rsid w:val="00E744AC"/>
    <w:rsid w:val="00F224C7"/>
    <w:rsid w:val="00F35818"/>
    <w:rsid w:val="02C26496"/>
    <w:rsid w:val="042D0AE7"/>
    <w:rsid w:val="053D4253"/>
    <w:rsid w:val="05726A52"/>
    <w:rsid w:val="05CD62F5"/>
    <w:rsid w:val="0AAC52DE"/>
    <w:rsid w:val="0CC37D87"/>
    <w:rsid w:val="0F366841"/>
    <w:rsid w:val="1F7FBE6D"/>
    <w:rsid w:val="26817E21"/>
    <w:rsid w:val="269862E3"/>
    <w:rsid w:val="29B921A3"/>
    <w:rsid w:val="2AFC7048"/>
    <w:rsid w:val="2D6D08B7"/>
    <w:rsid w:val="33F83A2E"/>
    <w:rsid w:val="3557174A"/>
    <w:rsid w:val="37725F34"/>
    <w:rsid w:val="384574D2"/>
    <w:rsid w:val="3AB21557"/>
    <w:rsid w:val="3F132D0E"/>
    <w:rsid w:val="41526E19"/>
    <w:rsid w:val="433503F6"/>
    <w:rsid w:val="44481722"/>
    <w:rsid w:val="49FF47D2"/>
    <w:rsid w:val="4E254FC4"/>
    <w:rsid w:val="521F720F"/>
    <w:rsid w:val="53954D4C"/>
    <w:rsid w:val="54E25661"/>
    <w:rsid w:val="5D5030C1"/>
    <w:rsid w:val="5DFBDF84"/>
    <w:rsid w:val="68721235"/>
    <w:rsid w:val="692A0168"/>
    <w:rsid w:val="6F3F01F9"/>
    <w:rsid w:val="6FCF0F93"/>
    <w:rsid w:val="731601FE"/>
    <w:rsid w:val="74601F2B"/>
    <w:rsid w:val="75097988"/>
    <w:rsid w:val="754E722E"/>
    <w:rsid w:val="778C61C9"/>
    <w:rsid w:val="7DFE4875"/>
    <w:rsid w:val="7E3008F3"/>
    <w:rsid w:val="7EB72FFE"/>
    <w:rsid w:val="7EFFADEB"/>
    <w:rsid w:val="7FE53E85"/>
    <w:rsid w:val="7FED9BCE"/>
    <w:rsid w:val="7FF9F39D"/>
    <w:rsid w:val="8BF77C27"/>
    <w:rsid w:val="AEEE9E20"/>
    <w:rsid w:val="B0DA6127"/>
    <w:rsid w:val="CEDD9E11"/>
    <w:rsid w:val="DF637F0F"/>
    <w:rsid w:val="DFF600E8"/>
    <w:rsid w:val="E7FD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0" w:lineRule="exact"/>
      <w:ind w:firstLine="883" w:firstLineChars="200"/>
      <w:jc w:val="both"/>
    </w:pPr>
    <w:rPr>
      <w:rFonts w:ascii="Calibri" w:hAnsi="Calibri" w:eastAsia="仿宋" w:cs="Times New Roman"/>
      <w:kern w:val="2"/>
      <w:sz w:val="32"/>
      <w:szCs w:val="24"/>
      <w:lang w:val="en-US" w:eastAsia="zh-CN" w:bidi="ar-SA"/>
    </w:rPr>
  </w:style>
  <w:style w:type="paragraph" w:styleId="4">
    <w:name w:val="heading 1"/>
    <w:basedOn w:val="1"/>
    <w:next w:val="1"/>
    <w:qFormat/>
    <w:uiPriority w:val="0"/>
    <w:pPr>
      <w:adjustRightInd/>
      <w:snapToGrid/>
      <w:jc w:val="left"/>
      <w:outlineLvl w:val="0"/>
    </w:pPr>
    <w:rPr>
      <w:rFonts w:hint="eastAsia" w:ascii="宋体" w:hAnsi="宋体" w:eastAsia="黑体"/>
      <w:kern w:val="44"/>
      <w:szCs w:val="48"/>
    </w:rPr>
  </w:style>
  <w:style w:type="paragraph" w:styleId="5">
    <w:name w:val="heading 2"/>
    <w:basedOn w:val="1"/>
    <w:next w:val="1"/>
    <w:link w:val="19"/>
    <w:unhideWhenUsed/>
    <w:qFormat/>
    <w:uiPriority w:val="0"/>
    <w:pPr>
      <w:jc w:val="left"/>
      <w:outlineLvl w:val="1"/>
    </w:pPr>
    <w:rPr>
      <w:rFonts w:hint="eastAsia" w:ascii="宋体" w:hAnsi="宋体" w:eastAsia="楷体"/>
      <w:b/>
      <w:kern w:val="0"/>
      <w:szCs w:val="36"/>
    </w:rPr>
  </w:style>
  <w:style w:type="paragraph" w:styleId="6">
    <w:name w:val="heading 3"/>
    <w:basedOn w:val="1"/>
    <w:next w:val="1"/>
    <w:semiHidden/>
    <w:unhideWhenUsed/>
    <w:qFormat/>
    <w:uiPriority w:val="0"/>
    <w:pPr>
      <w:outlineLvl w:val="2"/>
    </w:pPr>
    <w:rPr>
      <w:rFonts w:hint="eastAsia" w:ascii="宋体" w:hAnsi="宋体"/>
      <w:b/>
      <w:kern w:val="0"/>
      <w:szCs w:val="27"/>
    </w:rPr>
  </w:style>
  <w:style w:type="paragraph" w:styleId="7">
    <w:name w:val="heading 4"/>
    <w:basedOn w:val="1"/>
    <w:next w:val="1"/>
    <w:unhideWhenUsed/>
    <w:qFormat/>
    <w:uiPriority w:val="0"/>
    <w:pPr>
      <w:keepNext/>
      <w:keepLines/>
      <w:outlineLvl w:val="3"/>
    </w:pPr>
    <w:rPr>
      <w:rFonts w:ascii="仿宋" w:hAnsi="仿宋"/>
      <w:b/>
    </w:rPr>
  </w:style>
  <w:style w:type="paragraph" w:styleId="8">
    <w:name w:val="heading 5"/>
    <w:basedOn w:val="1"/>
    <w:next w:val="1"/>
    <w:unhideWhenUsed/>
    <w:qFormat/>
    <w:uiPriority w:val="0"/>
    <w:pPr>
      <w:keepNext/>
      <w:keepLines/>
      <w:outlineLvl w:val="4"/>
    </w:pPr>
    <w:rPr>
      <w:rFonts w:ascii="仿宋" w:hAnsi="仿宋"/>
      <w:b/>
    </w:rPr>
  </w:style>
  <w:style w:type="paragraph" w:styleId="9">
    <w:name w:val="heading 6"/>
    <w:basedOn w:val="1"/>
    <w:next w:val="1"/>
    <w:semiHidden/>
    <w:unhideWhenUsed/>
    <w:qFormat/>
    <w:uiPriority w:val="0"/>
    <w:pPr>
      <w:keepNext/>
      <w:keepLines/>
      <w:outlineLvl w:val="5"/>
    </w:pPr>
    <w:rPr>
      <w:rFonts w:ascii="仿宋" w:hAnsi="仿宋"/>
      <w:b/>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next w:val="2"/>
    <w:unhideWhenUsed/>
    <w:qFormat/>
    <w:uiPriority w:val="99"/>
    <w:pPr>
      <w:widowControl/>
      <w:numPr>
        <w:ilvl w:val="0"/>
        <w:numId w:val="1"/>
      </w:numPr>
      <w:spacing w:beforeLines="50" w:line="336" w:lineRule="auto"/>
      <w:ind w:left="0" w:firstLine="0"/>
    </w:pPr>
    <w:rPr>
      <w:rFonts w:eastAsia="黑体"/>
      <w:szCs w:val="20"/>
    </w:rPr>
  </w:style>
  <w:style w:type="paragraph" w:styleId="10">
    <w:name w:val="Body Text Indent 2"/>
    <w:basedOn w:val="1"/>
    <w:qFormat/>
    <w:uiPriority w:val="99"/>
    <w:pPr>
      <w:spacing w:after="120" w:line="480" w:lineRule="auto"/>
      <w:ind w:left="420" w:leftChars="200"/>
    </w:pPr>
    <w:rPr>
      <w:kern w:val="0"/>
      <w:sz w:val="24"/>
    </w:rPr>
  </w:style>
  <w:style w:type="paragraph" w:styleId="11">
    <w:name w:val="Balloon Text"/>
    <w:basedOn w:val="1"/>
    <w:link w:val="22"/>
    <w:qFormat/>
    <w:uiPriority w:val="0"/>
    <w:pPr>
      <w:spacing w:line="240" w:lineRule="auto"/>
    </w:pPr>
    <w:rPr>
      <w:sz w:val="18"/>
      <w:szCs w:val="18"/>
    </w:rPr>
  </w:style>
  <w:style w:type="paragraph" w:styleId="12">
    <w:name w:val="footer"/>
    <w:basedOn w:val="1"/>
    <w:qFormat/>
    <w:uiPriority w:val="0"/>
    <w:pPr>
      <w:tabs>
        <w:tab w:val="center" w:pos="4153"/>
        <w:tab w:val="right" w:pos="8306"/>
      </w:tabs>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4">
    <w:name w:val="Subtitle"/>
    <w:basedOn w:val="1"/>
    <w:link w:val="21"/>
    <w:qFormat/>
    <w:uiPriority w:val="0"/>
    <w:pPr>
      <w:adjustRightInd/>
      <w:snapToGrid/>
      <w:ind w:firstLine="0" w:firstLineChars="0"/>
      <w:jc w:val="center"/>
      <w:outlineLvl w:val="1"/>
    </w:pPr>
    <w:rPr>
      <w:rFonts w:ascii="Arial" w:hAnsi="Arial" w:eastAsia="楷体"/>
      <w:b/>
      <w:kern w:val="28"/>
    </w:rPr>
  </w:style>
  <w:style w:type="paragraph" w:styleId="15">
    <w:name w:val="Normal (Web)"/>
    <w:basedOn w:val="1"/>
    <w:qFormat/>
    <w:uiPriority w:val="0"/>
    <w:pPr>
      <w:spacing w:beforeAutospacing="1" w:afterAutospacing="1"/>
      <w:jc w:val="left"/>
    </w:pPr>
    <w:rPr>
      <w:kern w:val="0"/>
      <w:sz w:val="24"/>
    </w:rPr>
  </w:style>
  <w:style w:type="character" w:styleId="18">
    <w:name w:val="Emphasis"/>
    <w:basedOn w:val="17"/>
    <w:qFormat/>
    <w:uiPriority w:val="0"/>
    <w:rPr>
      <w:i/>
    </w:rPr>
  </w:style>
  <w:style w:type="character" w:customStyle="1" w:styleId="19">
    <w:name w:val="标题 2 Char"/>
    <w:link w:val="5"/>
    <w:qFormat/>
    <w:uiPriority w:val="0"/>
    <w:rPr>
      <w:rFonts w:ascii="楷体" w:hAnsi="楷体" w:eastAsia="楷体" w:cs="Times New Roman"/>
      <w:b/>
      <w:sz w:val="32"/>
    </w:rPr>
  </w:style>
  <w:style w:type="paragraph" w:customStyle="1" w:styleId="20">
    <w:name w:val="大标题"/>
    <w:basedOn w:val="1"/>
    <w:qFormat/>
    <w:uiPriority w:val="0"/>
    <w:pPr>
      <w:spacing w:line="600" w:lineRule="exact"/>
      <w:ind w:firstLine="0" w:firstLineChars="0"/>
      <w:jc w:val="center"/>
    </w:pPr>
    <w:rPr>
      <w:rFonts w:hint="eastAsia" w:ascii="方正小标宋简体" w:hAnsi="方正小标宋简体" w:eastAsia="方正小标宋简体" w:cs="方正小标宋简体"/>
      <w:b/>
      <w:bCs/>
      <w:sz w:val="44"/>
      <w:szCs w:val="44"/>
    </w:rPr>
  </w:style>
  <w:style w:type="character" w:customStyle="1" w:styleId="21">
    <w:name w:val="副标题 Char"/>
    <w:link w:val="14"/>
    <w:qFormat/>
    <w:uiPriority w:val="0"/>
    <w:rPr>
      <w:rFonts w:ascii="Arial" w:hAnsi="Arial" w:eastAsia="楷体" w:cs="Times New Roman"/>
      <w:b/>
      <w:kern w:val="28"/>
      <w:sz w:val="32"/>
    </w:rPr>
  </w:style>
  <w:style w:type="character" w:customStyle="1" w:styleId="22">
    <w:name w:val="批注框文本 Char"/>
    <w:basedOn w:val="17"/>
    <w:link w:val="11"/>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中铁16局</Company>
  <Pages>8</Pages>
  <Words>574</Words>
  <Characters>3273</Characters>
  <Lines>27</Lines>
  <Paragraphs>7</Paragraphs>
  <TotalTime>211</TotalTime>
  <ScaleCrop>false</ScaleCrop>
  <LinksUpToDate>false</LinksUpToDate>
  <CharactersWithSpaces>3840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2025-03-29T08:35:00Z</dcterms:created>
  <dc:creator>Administrator</dc:creator>
  <cp:lastModifiedBy>SFQ</cp:lastModifiedBy>
  <cp:lastPrinted>2025-04-16T03:12:00Z</cp:lastPrinted>
  <dcterms:modified xsi:type="dcterms:W3CDTF">2025-06-12T11:28:26Z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